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78" w:rsidRPr="00E8704C" w:rsidRDefault="00B327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Проект </w:t>
      </w:r>
      <w:r w:rsidR="00C87178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Паспорт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а </w:t>
      </w:r>
      <w:r w:rsidR="00C87178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на 2018-2022 годы (далее – Программа)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Тюльковский</w:t>
      </w:r>
      <w:proofErr w:type="spellEnd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сельсовет </w:t>
      </w:r>
      <w:proofErr w:type="spellStart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Балахтинского</w:t>
      </w:r>
      <w:proofErr w:type="spellEnd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района красноярского края </w:t>
      </w:r>
    </w:p>
    <w:p w:rsidR="00C87178" w:rsidRPr="00C87178" w:rsidRDefault="00C87178" w:rsidP="00C8717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>(наименование городского округа,  поселения численностью свыше 1000 человек)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7178" w:rsidRPr="00E8704C" w:rsidTr="00B62638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C8717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Администрация Тюльковского сельсовета </w:t>
            </w:r>
            <w:proofErr w:type="spellStart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Балахтинского</w:t>
            </w:r>
            <w:proofErr w:type="spellEnd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района Красноярского края  </w:t>
            </w:r>
          </w:p>
        </w:tc>
      </w:tr>
      <w:tr w:rsidR="00C87178" w:rsidRPr="00E8704C" w:rsidTr="00B62638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Участники</w:t>
            </w:r>
          </w:p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- Администрация Тюльковского сельсовета </w:t>
            </w:r>
            <w:proofErr w:type="spellStart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Балахтинского</w:t>
            </w:r>
            <w:proofErr w:type="spellEnd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района Красноярского края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-учреждения, организации находящиеся на территории муниципального образования 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-граждане проживающее на территории МО «</w:t>
            </w:r>
            <w:proofErr w:type="spellStart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Тюльковский</w:t>
            </w:r>
            <w:proofErr w:type="spellEnd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сельсовет» 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-общественная комиссия, созданная для осуществления контроля за реализацией Подпрограммы </w:t>
            </w:r>
          </w:p>
        </w:tc>
      </w:tr>
      <w:tr w:rsidR="00C87178" w:rsidRPr="00E8704C" w:rsidTr="00B62638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hAnsi="Times New Roman"/>
                <w:bCs/>
                <w:sz w:val="20"/>
                <w:szCs w:val="20"/>
              </w:rPr>
              <w:t>Создание наиболее благоприятных и комфортных условий жизнедеятельности населения</w:t>
            </w:r>
            <w:r w:rsidRPr="00C871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7178" w:rsidRPr="00E8704C" w:rsidTr="00B62638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Задачи</w:t>
            </w:r>
          </w:p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hAnsi="Times New Roman"/>
                <w:bCs/>
                <w:sz w:val="20"/>
                <w:szCs w:val="20"/>
              </w:rPr>
              <w:t>-внедрение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87178" w:rsidRPr="00E8704C" w:rsidTr="00B62638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7178" w:rsidRPr="00E8704C" w:rsidTr="00B62638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Срок</w:t>
            </w: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2018-2022 годы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этап: 2018-2019 годы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этап: 2020-2021 годы</w:t>
            </w:r>
          </w:p>
          <w:p w:rsidR="00C87178" w:rsidRPr="00C87178" w:rsidRDefault="00C87178" w:rsidP="00B6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этап  2022 годы</w:t>
            </w:r>
          </w:p>
        </w:tc>
      </w:tr>
      <w:tr w:rsidR="00C87178" w:rsidRPr="00E8704C" w:rsidTr="00B62638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Объемы бюджетных ассигнований Программы</w:t>
            </w:r>
            <w:r w:rsidRPr="00C87178">
              <w:rPr>
                <w:rStyle w:val="a5"/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footnoteReference w:id="1"/>
            </w: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87178" w:rsidRPr="00C87178" w:rsidRDefault="00C87178" w:rsidP="00C87178">
            <w:pPr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Всего на реализацию подпрограммы в 2018-2022 годы — ________ тыс. руб., в том числе: </w:t>
            </w:r>
          </w:p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федеральный бюджет           — тыс. </w:t>
            </w:r>
            <w:proofErr w:type="spellStart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руб</w:t>
            </w:r>
            <w:proofErr w:type="spellEnd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краевой бюджет                    — тыс. </w:t>
            </w:r>
            <w:proofErr w:type="spellStart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руб</w:t>
            </w:r>
            <w:proofErr w:type="spellEnd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местный бюджет                  — тыс. руб. </w:t>
            </w:r>
          </w:p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Иные источники                   — тыс. </w:t>
            </w:r>
            <w:proofErr w:type="spellStart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руб</w:t>
            </w:r>
            <w:proofErr w:type="spellEnd"/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C87178" w:rsidRPr="00E8704C" w:rsidTr="00B62638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78" w:rsidRPr="00C87178" w:rsidRDefault="00C87178" w:rsidP="00B626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87178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87178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Pr="00E8704C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lastRenderedPageBreak/>
        <w:t>2. Приоритеты</w:t>
      </w:r>
    </w:p>
    <w:p w:rsidR="00C87178" w:rsidRPr="00E8704C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ф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ормирования комфортной городской (сельской) среды 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благоустройства территорий городских округов (поселений) </w:t>
      </w:r>
    </w:p>
    <w:p w:rsidR="00C87178" w:rsidRPr="00E8704C" w:rsidRDefault="00C87178" w:rsidP="00C87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87178" w:rsidRPr="00E8704C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групп. 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Pr="00E8704C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87178" w:rsidRPr="00E8704C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3.1.1. Численность 1209 </w:t>
      </w:r>
      <w:r w:rsidR="00F15624"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человек,</w:t>
      </w:r>
      <w:r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 в том числе по возрасту</w:t>
      </w:r>
      <w:r w:rsidRPr="008B1BE3">
        <w:rPr>
          <w:rStyle w:val="a5"/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footnoteReference w:id="4"/>
      </w:r>
      <w:r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:</w:t>
      </w:r>
    </w:p>
    <w:p w:rsidR="008B1BE3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1,07 % - до 1 года </w:t>
      </w:r>
    </w:p>
    <w:p w:rsidR="008B1BE3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2,9%- от 1 года до 3 лет </w:t>
      </w:r>
    </w:p>
    <w:p w:rsidR="008B1BE3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8,9%- от 3 лет до 10 лет </w:t>
      </w:r>
    </w:p>
    <w:p w:rsidR="008B1BE3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7,33% -от 10 лет до 18 лет </w:t>
      </w:r>
    </w:p>
    <w:p w:rsidR="008B1BE3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2,7% -от 18 лет до 20 лет </w:t>
      </w:r>
    </w:p>
    <w:p w:rsidR="008B1BE3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13,4 %- от 20 лет до 30 лет </w:t>
      </w:r>
    </w:p>
    <w:p w:rsidR="008B1BE3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15,1%- от 30 лет до 40 лет </w:t>
      </w:r>
    </w:p>
    <w:p w:rsidR="00C87178" w:rsidRPr="008B1BE3" w:rsidRDefault="008B1BE3" w:rsidP="008B1BE3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B1BE3">
        <w:rPr>
          <w:rFonts w:ascii="Times New Roman" w:hAnsi="Times New Roman"/>
          <w:color w:val="000000" w:themeColor="text1"/>
          <w:sz w:val="28"/>
          <w:szCs w:val="28"/>
        </w:rPr>
        <w:t xml:space="preserve">15,6%- от 40 лет до 55 лет                                                                                                                 33% -от 55 лет - и выше 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– экономического развития: утверждена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Тюльковского сельского Совета депутатов от 28.05.22013 г. № 25-125р «Об утверждении Программы социально-экономического развития муниципального образования «Тюльковский сельсовет Балахтинского района Красноярского края» на период до 2020 года. </w:t>
      </w:r>
      <w:r w:rsidRPr="00E8704C">
        <w:rPr>
          <w:rStyle w:val="a5"/>
          <w:rFonts w:ascii="Times New Roman" w:eastAsia="SimSun" w:hAnsi="Times New Roman"/>
          <w:kern w:val="1"/>
          <w:sz w:val="24"/>
          <w:szCs w:val="24"/>
          <w:lang w:eastAsia="ar-SA"/>
        </w:rPr>
        <w:footnoteReference w:id="5"/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3.1.3. Генеральный план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  не утвержден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Правила землепользования: утверждены   </w:t>
      </w:r>
      <w:r w:rsidR="00AF7897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Балах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тинского районного Совета Депутатов от </w:t>
      </w:r>
      <w:r w:rsidR="00AF7897">
        <w:rPr>
          <w:rFonts w:ascii="Times New Roman" w:eastAsia="SimSun" w:hAnsi="Times New Roman"/>
          <w:kern w:val="1"/>
          <w:sz w:val="24"/>
          <w:szCs w:val="24"/>
          <w:lang w:eastAsia="ar-SA"/>
        </w:rPr>
        <w:t>26.06.2013 г. № 23-345р «Об утверждении Правил землепользования и застройки сельского поселения Тюльковский сельсовет»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3.1.5. Правила благоустройства: утверждены</w:t>
      </w:r>
      <w:r w:rsidR="00AF789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Тюльковского сельского Совета депутатов от 19.007.2017 г. № 14-59р « Об утверждении правил благоустройства территории Тюльковского сельсовета Балахтинского района Красноярского края» </w:t>
      </w:r>
    </w:p>
    <w:p w:rsidR="00C87178" w:rsidRPr="00E8704C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7"/>
        <w:gridCol w:w="1449"/>
        <w:gridCol w:w="1622"/>
      </w:tblGrid>
      <w:tr w:rsidR="00C87178" w:rsidRPr="00E8704C" w:rsidTr="00B62638">
        <w:tc>
          <w:tcPr>
            <w:tcW w:w="3506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изм</w:t>
            </w:r>
            <w:proofErr w:type="spellEnd"/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87178" w:rsidRPr="00E8704C" w:rsidTr="00B62638">
        <w:trPr>
          <w:trHeight w:val="426"/>
        </w:trPr>
        <w:tc>
          <w:tcPr>
            <w:tcW w:w="5000" w:type="pct"/>
            <w:gridSpan w:val="3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C87178" w:rsidRPr="00E8704C" w:rsidTr="00B62638">
        <w:trPr>
          <w:trHeight w:val="625"/>
        </w:trPr>
        <w:tc>
          <w:tcPr>
            <w:tcW w:w="3506" w:type="pc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E8704C">
              <w:rPr>
                <w:rStyle w:val="a5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rPr>
          <w:trHeight w:val="627"/>
        </w:trPr>
        <w:tc>
          <w:tcPr>
            <w:tcW w:w="3506" w:type="pc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rPr>
          <w:trHeight w:val="627"/>
        </w:trPr>
        <w:tc>
          <w:tcPr>
            <w:tcW w:w="3506" w:type="pct"/>
            <w:vMerge w:val="restar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 w:rsidRPr="00E8704C">
              <w:rPr>
                <w:rStyle w:val="a5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7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rPr>
          <w:trHeight w:val="627"/>
        </w:trPr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rPr>
          <w:trHeight w:val="627"/>
        </w:trPr>
        <w:tc>
          <w:tcPr>
            <w:tcW w:w="3506" w:type="pct"/>
            <w:vMerge w:val="restar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8704C">
              <w:rPr>
                <w:rStyle w:val="a5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8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автопарковкой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rPr>
          <w:trHeight w:val="913"/>
        </w:trPr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 w:val="restar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 w:val="restar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5000" w:type="pct"/>
            <w:gridSpan w:val="3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8704C">
              <w:rPr>
                <w:rStyle w:val="a5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C87178" w:rsidRPr="00E8704C" w:rsidTr="00B62638">
        <w:tc>
          <w:tcPr>
            <w:tcW w:w="3506" w:type="pct"/>
            <w:vMerge w:val="restar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87178" w:rsidRPr="00E8704C" w:rsidRDefault="00C87178" w:rsidP="00B626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87178" w:rsidRPr="00E8704C" w:rsidTr="00B62638">
        <w:tc>
          <w:tcPr>
            <w:tcW w:w="3506" w:type="pct"/>
            <w:vMerge w:val="restar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87178" w:rsidRPr="00E8704C" w:rsidRDefault="00C87178" w:rsidP="00B626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  <w:vMerge w:val="restar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C87178" w:rsidRPr="00E8704C" w:rsidRDefault="00C87178" w:rsidP="00B6263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  <w:vMerge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парк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7178" w:rsidRPr="00E8704C" w:rsidTr="00B62638">
        <w:tc>
          <w:tcPr>
            <w:tcW w:w="3506" w:type="pct"/>
          </w:tcPr>
          <w:p w:rsidR="00C87178" w:rsidRPr="00E8704C" w:rsidRDefault="00C87178" w:rsidP="00C87178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7178" w:rsidRPr="00E8704C" w:rsidRDefault="00C87178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7178" w:rsidRPr="00E8704C" w:rsidRDefault="00AF7897" w:rsidP="00B62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C87178" w:rsidRPr="00E8704C" w:rsidRDefault="00C87178" w:rsidP="00C871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78" w:rsidRPr="00E8704C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87178" w:rsidRPr="00E8704C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C87178" w:rsidRPr="00E8704C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E8704C">
        <w:rPr>
          <w:rFonts w:ascii="Times New Roman" w:hAnsi="Times New Roman"/>
          <w:sz w:val="24"/>
          <w:szCs w:val="24"/>
        </w:rPr>
        <w:t>дорожно-тропиночной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С целью существенных изменений данной ситуации с ________ года администрацией </w:t>
      </w:r>
      <w:proofErr w:type="spellStart"/>
      <w:r w:rsidRPr="008B1BE3">
        <w:rPr>
          <w:rFonts w:ascii="Times New Roman" w:hAnsi="Times New Roman"/>
          <w:color w:val="000000" w:themeColor="text1"/>
          <w:sz w:val="24"/>
          <w:szCs w:val="24"/>
        </w:rPr>
        <w:t>______________проводятся</w:t>
      </w:r>
      <w:proofErr w:type="spellEnd"/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конкурсы __________________, также  администрация участвует в краевых конкурсах ____________________.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За 2014-2016 годы выполнены работы _______________ на общую сумму ______________ тыс.рублей. Это позволило ________________________.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Население (школьники, студенты) привлекается к работам по благоустройству _______________________ проводятся субботники ______________________________________., иные мероприятия _______________________________________.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</w:p>
    <w:p w:rsidR="00C87178" w:rsidRPr="008B1BE3" w:rsidRDefault="00C87178" w:rsidP="00C871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 Цели и задачи муниципальной Программы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В целях создания </w:t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Задача 1</w:t>
      </w: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Задача 2</w:t>
      </w: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Задача 3</w:t>
      </w: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  <w:t>5. Ожидаемые результаты Программы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  <w:t>6. Мероприятия Программы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Задача 1. </w:t>
      </w:r>
      <w:r w:rsidRPr="008B1B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>Мероприятие 1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>Применение правил благоустройства,</w:t>
      </w:r>
      <w:r w:rsidR="00327DEE"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утвержденных решением Тюльковского сельского Совета </w:t>
      </w:r>
      <w:proofErr w:type="spellStart"/>
      <w:r w:rsidR="00327DEE"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>депутаторв</w:t>
      </w:r>
      <w:proofErr w:type="spellEnd"/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от </w:t>
      </w:r>
      <w:r w:rsidR="00AF7897"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19.07.2017 г. </w:t>
      </w:r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AF7897"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14-59р «Об утверждении правил благоустройства территории Тюльковского сельсовета </w:t>
      </w:r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>_- по результатам публичных слушаний.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r w:rsidRPr="008B1BE3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spellEnd"/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и утверждены</w:t>
      </w:r>
      <w:r w:rsidRPr="008B1BE3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erence w:id="10"/>
      </w:r>
      <w:r w:rsidR="00327DEE"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решением Тюльковского сельского Совета </w:t>
      </w:r>
      <w:proofErr w:type="spellStart"/>
      <w:r w:rsidR="00327DEE"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>депутаторв</w:t>
      </w:r>
      <w:proofErr w:type="spellEnd"/>
      <w:r w:rsidR="00327DEE"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от 19.07.2017 г. № 14-59р «Об утверждении правил благоустройства территории Тюльковского сельсовета</w:t>
      </w:r>
      <w:r w:rsidR="00327DEE"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>на основании публичных слушаний.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8B1B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Порядок организации и проведения публичных слушаний определен  уставом муниципального образования </w:t>
      </w:r>
      <w:r w:rsidRPr="008B1BE3">
        <w:rPr>
          <w:rFonts w:ascii="Times New Roman" w:hAnsi="Times New Roman"/>
          <w:bCs/>
          <w:i/>
          <w:color w:val="000000" w:themeColor="text1"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>Публичные слушания проведены</w:t>
      </w:r>
      <w:r w:rsidRPr="008B1BE3">
        <w:rPr>
          <w:rStyle w:val="a5"/>
          <w:rFonts w:ascii="Times New Roman" w:hAnsi="Times New Roman"/>
          <w:bCs/>
          <w:color w:val="000000" w:themeColor="text1"/>
          <w:sz w:val="24"/>
          <w:szCs w:val="24"/>
        </w:rPr>
        <w:footnoteReference w:id="11"/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в период с __________ по ______________..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публичных слушаниях приняли участие </w:t>
      </w:r>
      <w:proofErr w:type="spellStart"/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>_______чел</w:t>
      </w:r>
      <w:proofErr w:type="spellEnd"/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что составляет ____% от общего количества жителей в муниципальном образовании.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pStyle w:val="ConsPlusNormal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1B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7" w:history="1">
        <w:r w:rsidRPr="008B1BE3">
          <w:rPr>
            <w:rFonts w:ascii="Times New Roman" w:hAnsi="Times New Roman"/>
            <w:bCs/>
            <w:color w:val="000000" w:themeColor="text1"/>
            <w:sz w:val="24"/>
            <w:szCs w:val="24"/>
          </w:rPr>
          <w:t>Законом</w:t>
        </w:r>
      </w:hyperlink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края от 23.04.2009 № 8-3170.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Административные комиссии рассматривают дела об административных правонарушениях, предусмотренных ст. </w:t>
      </w:r>
      <w:hyperlink r:id="rId8" w:history="1">
        <w:r w:rsidRPr="008B1BE3">
          <w:rPr>
            <w:rFonts w:ascii="Times New Roman" w:hAnsi="Times New Roman"/>
            <w:bCs/>
            <w:color w:val="000000" w:themeColor="text1"/>
            <w:sz w:val="24"/>
            <w:szCs w:val="24"/>
          </w:rPr>
          <w:t>5.1</w:t>
        </w:r>
      </w:hyperlink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>Нарушение правил благоустройства городов и других населенных пунктов»</w:t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Закона 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«Об административных правонарушениях».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Состав административной комиссии утвержден</w:t>
      </w:r>
      <w:r w:rsidRPr="008B1BE3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erence w:id="12"/>
      </w:r>
      <w:r w:rsidR="00327DEE"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Решением Тюльковского сельского совета депутатов от 31.03.2016 г. № 5-24р «О создании административной комиссии </w:t>
      </w:r>
      <w:proofErr w:type="spellStart"/>
      <w:r w:rsidR="00327DEE" w:rsidRPr="008B1BE3">
        <w:rPr>
          <w:rFonts w:ascii="Times New Roman" w:hAnsi="Times New Roman"/>
          <w:color w:val="000000" w:themeColor="text1"/>
          <w:sz w:val="24"/>
          <w:szCs w:val="24"/>
        </w:rPr>
        <w:t>Тюлькоовского</w:t>
      </w:r>
      <w:proofErr w:type="spellEnd"/>
      <w:r w:rsidR="00327DEE"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сельсовета»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8B1BE3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erence w:id="13"/>
      </w:r>
      <w:r w:rsidR="00327DEE"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1B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Мероприятие 3. Применение лучших практик (проектов, дизайн- проектов)  при  благоустройстве  дворов и общественных пространств.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87178" w:rsidRPr="008B1BE3" w:rsidRDefault="00C87178" w:rsidP="00C87178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В концепции отражается настоящее и будущее территории: </w:t>
      </w:r>
    </w:p>
    <w:p w:rsidR="00C87178" w:rsidRPr="008B1BE3" w:rsidRDefault="00C87178" w:rsidP="00C8717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C87178" w:rsidRPr="008B1BE3" w:rsidRDefault="00C87178" w:rsidP="00C8717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BE3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 w:rsidRPr="008B1BE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Pr="008B1B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Порядок </w:t>
      </w:r>
      <w:r w:rsidRPr="008B1B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формирования общественной комиссии </w:t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>по развитию городской (сельской) среды;</w:t>
      </w:r>
      <w:r w:rsidRPr="008B1B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7178" w:rsidRPr="008B1BE3" w:rsidRDefault="00C87178" w:rsidP="00C8717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C87178" w:rsidRPr="008B1BE3" w:rsidRDefault="00C87178" w:rsidP="00C8717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1B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При благоустройстве дворовой территории с привлечение бюджетных средств в порядке, установленном Правительством края, выполняется минимальный перечень работ. 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Минимальный перечень включает в себя: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ремонт дворовых проездов;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установку скамеек;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установку урн для мусора.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______ № _________.</w:t>
      </w:r>
    </w:p>
    <w:p w:rsidR="00C87178" w:rsidRPr="008B1BE3" w:rsidRDefault="00C87178" w:rsidP="00C8717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Предложения заинтересованные лица направляют в порядке, установленном постановлением главы муниципального образования от </w:t>
      </w:r>
      <w:r w:rsidR="00B32778"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10.07.2017 г. 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B32778" w:rsidRPr="008B1BE3">
        <w:rPr>
          <w:rFonts w:ascii="Times New Roman" w:hAnsi="Times New Roman"/>
          <w:color w:val="000000" w:themeColor="text1"/>
          <w:sz w:val="24"/>
          <w:szCs w:val="24"/>
        </w:rPr>
        <w:t>47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2778"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B32778" w:rsidRPr="008B1BE3">
        <w:rPr>
          <w:rFonts w:ascii="Times New Roman" w:hAnsi="Times New Roman"/>
          <w:color w:val="000000" w:themeColor="text1"/>
        </w:rPr>
        <w:t xml:space="preserve">Об утверждении порядка </w:t>
      </w:r>
      <w:r w:rsidR="00B32778" w:rsidRPr="008B1BE3">
        <w:rPr>
          <w:rFonts w:ascii="Times New Roman" w:eastAsia="Times New Roman" w:hAnsi="Times New Roman"/>
          <w:color w:val="000000" w:themeColor="text1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</w:r>
      <w:r w:rsidR="00B32778"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Предложения об участии в муниципальной программе  приняты на общем собрании 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8B1B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общественной комиссией </w:t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развитию городской (сельской) среды от ________ № _____________.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Доля финансового участия </w:t>
      </w: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заинтересованных лиц 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может быть снижена при условии обеспечения </w:t>
      </w:r>
      <w:proofErr w:type="spellStart"/>
      <w:r w:rsidRPr="008B1BE3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заинтересованных лиц</w:t>
      </w:r>
      <w:r w:rsidRPr="008B1B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 xml:space="preserve"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C87178" w:rsidRPr="008B1BE3" w:rsidRDefault="00C87178" w:rsidP="00C8717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______ № _________.</w:t>
      </w:r>
    </w:p>
    <w:p w:rsidR="00C87178" w:rsidRPr="008B1BE3" w:rsidRDefault="00C87178" w:rsidP="00C8717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_______ №______</w:t>
      </w: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b/>
          <w:color w:val="000000" w:themeColor="text1"/>
          <w:sz w:val="24"/>
          <w:szCs w:val="24"/>
        </w:rPr>
        <w:t>7. Ресурсное обеспечение программы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7.1. Средства на финансирование в 2018 - 2022 годах мероприятий Программы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Задача 1.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/>
          <w:color w:val="000000" w:themeColor="text1"/>
          <w:sz w:val="24"/>
          <w:szCs w:val="24"/>
        </w:rPr>
        <w:t>Задача 2.</w:t>
      </w: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1B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C87178" w:rsidRPr="008B1BE3" w:rsidRDefault="00C87178" w:rsidP="00C87178">
      <w:pPr>
        <w:pStyle w:val="ConsPlusNormal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1B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Мероприятие 2.2.  Б</w:t>
      </w:r>
      <w:r w:rsidRPr="008B1BE3">
        <w:rPr>
          <w:rFonts w:ascii="Times New Roman" w:hAnsi="Times New Roman"/>
          <w:color w:val="000000" w:themeColor="text1"/>
          <w:sz w:val="24"/>
          <w:szCs w:val="24"/>
          <w:u w:val="single"/>
        </w:rPr>
        <w:t>лагоустройство общественных пространств.</w:t>
      </w:r>
    </w:p>
    <w:p w:rsidR="00C87178" w:rsidRPr="008B1BE3" w:rsidRDefault="00C87178" w:rsidP="00C8717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  <w:t>8. Управление реализацией Программы и контроль за ходом ее выполнения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 w:rsidRPr="008B1B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общественной комиссией </w:t>
      </w:r>
      <w:r w:rsidRPr="008B1BE3">
        <w:rPr>
          <w:rFonts w:ascii="Times New Roman" w:hAnsi="Times New Roman"/>
          <w:bCs/>
          <w:color w:val="000000" w:themeColor="text1"/>
          <w:sz w:val="24"/>
          <w:szCs w:val="24"/>
        </w:rPr>
        <w:t>по развитию городской (сельской) среды.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8.3. Участники Программы ______________________ предоставляют ответственному исполнителю отчеты по форме согласно приложению № 5: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ежеквартальный в срок до 3 числа месяца следующего за отчетным;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8B1BE3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87178" w:rsidRPr="008B1BE3" w:rsidRDefault="00C87178" w:rsidP="00C871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1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</w:p>
    <w:p w:rsidR="00C87178" w:rsidRPr="008B1BE3" w:rsidRDefault="00C87178" w:rsidP="00C8717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</w:p>
    <w:p w:rsidR="00C87178" w:rsidRPr="008B1BE3" w:rsidRDefault="00C87178" w:rsidP="00C8717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F17" w:rsidRPr="008B1BE3" w:rsidRDefault="00C85F17">
      <w:pPr>
        <w:rPr>
          <w:color w:val="000000" w:themeColor="text1"/>
        </w:rPr>
      </w:pPr>
    </w:p>
    <w:sectPr w:rsidR="00C85F17" w:rsidRPr="008B1BE3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45" w:rsidRDefault="00FE6C45" w:rsidP="00C87178">
      <w:pPr>
        <w:spacing w:after="0" w:line="240" w:lineRule="auto"/>
      </w:pPr>
      <w:r>
        <w:separator/>
      </w:r>
    </w:p>
  </w:endnote>
  <w:endnote w:type="continuationSeparator" w:id="0">
    <w:p w:rsidR="00FE6C45" w:rsidRDefault="00FE6C45" w:rsidP="00C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45" w:rsidRDefault="00FE6C45" w:rsidP="00C87178">
      <w:pPr>
        <w:spacing w:after="0" w:line="240" w:lineRule="auto"/>
      </w:pPr>
      <w:r>
        <w:separator/>
      </w:r>
    </w:p>
  </w:footnote>
  <w:footnote w:type="continuationSeparator" w:id="0">
    <w:p w:rsidR="00FE6C45" w:rsidRDefault="00FE6C45" w:rsidP="00C87178">
      <w:pPr>
        <w:spacing w:after="0" w:line="240" w:lineRule="auto"/>
      </w:pPr>
      <w:r>
        <w:continuationSeparator/>
      </w:r>
    </w:p>
  </w:footnote>
  <w:footnote w:id="1">
    <w:p w:rsidR="00C87178" w:rsidRPr="00842583" w:rsidRDefault="00C87178" w:rsidP="00C87178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5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C87178" w:rsidRPr="00241FDC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5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3">
    <w:p w:rsidR="00C87178" w:rsidRPr="005B22F6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5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C87178" w:rsidRPr="005B22F6" w:rsidRDefault="00C87178" w:rsidP="00C87178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5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C87178" w:rsidRPr="00831507" w:rsidRDefault="00C87178" w:rsidP="00C87178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5B22F6">
        <w:rPr>
          <w:rStyle w:val="a5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По показателям 3.1.2-3.1.5 отражаются</w:t>
      </w:r>
      <w:r w:rsidRPr="00831507">
        <w:rPr>
          <w:rFonts w:ascii="Times New Roman" w:hAnsi="Times New Roman"/>
          <w:sz w:val="22"/>
          <w:szCs w:val="22"/>
        </w:rPr>
        <w:t xml:space="preserve">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C87178" w:rsidRPr="00831507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5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C87178" w:rsidRPr="000A37A2" w:rsidRDefault="00C87178" w:rsidP="00C87178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5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0A37A2">
        <w:rPr>
          <w:rFonts w:ascii="Times New Roman" w:hAnsi="Times New Roman"/>
          <w:sz w:val="22"/>
          <w:szCs w:val="22"/>
        </w:rPr>
        <w:t>ех</w:t>
      </w:r>
      <w:proofErr w:type="spellEnd"/>
      <w:r w:rsidRPr="000A37A2"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C87178" w:rsidRPr="000A37A2" w:rsidRDefault="00C87178" w:rsidP="00C87178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5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C87178" w:rsidRPr="000A37A2" w:rsidRDefault="00C87178" w:rsidP="00C8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5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C87178" w:rsidRPr="000A37A2" w:rsidRDefault="00C87178" w:rsidP="00C87178">
      <w:pPr>
        <w:pStyle w:val="a3"/>
        <w:rPr>
          <w:sz w:val="22"/>
          <w:szCs w:val="22"/>
        </w:rPr>
      </w:pPr>
    </w:p>
  </w:footnote>
  <w:footnote w:id="10">
    <w:p w:rsidR="00C87178" w:rsidRPr="00956BD2" w:rsidRDefault="00C87178" w:rsidP="00C87178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5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C87178" w:rsidRPr="00B110E5" w:rsidRDefault="00C87178" w:rsidP="00C8717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5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C87178" w:rsidRPr="00B110E5" w:rsidRDefault="00C87178" w:rsidP="00C8717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5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C87178" w:rsidRPr="00B110E5" w:rsidRDefault="00C87178" w:rsidP="00C8717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5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4">
    <w:p w:rsidR="00C87178" w:rsidRPr="00B110E5" w:rsidRDefault="00C87178" w:rsidP="00C8717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5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E89"/>
    <w:multiLevelType w:val="hybridMultilevel"/>
    <w:tmpl w:val="87FC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78"/>
    <w:rsid w:val="00327DEE"/>
    <w:rsid w:val="003F69F8"/>
    <w:rsid w:val="006128DA"/>
    <w:rsid w:val="008B1BE3"/>
    <w:rsid w:val="00AF7897"/>
    <w:rsid w:val="00B32778"/>
    <w:rsid w:val="00C85F17"/>
    <w:rsid w:val="00C87178"/>
    <w:rsid w:val="00F15624"/>
    <w:rsid w:val="00F21D8E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71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717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C87178"/>
    <w:rPr>
      <w:vertAlign w:val="superscript"/>
    </w:rPr>
  </w:style>
  <w:style w:type="paragraph" w:styleId="a6">
    <w:name w:val="List Paragraph"/>
    <w:basedOn w:val="a"/>
    <w:uiPriority w:val="34"/>
    <w:qFormat/>
    <w:rsid w:val="00C87178"/>
    <w:pPr>
      <w:ind w:left="720"/>
      <w:contextualSpacing/>
    </w:pPr>
  </w:style>
  <w:style w:type="paragraph" w:customStyle="1" w:styleId="ConsPlusNormal">
    <w:name w:val="ConsPlusNormal"/>
    <w:rsid w:val="00C8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865E836A51092CEC0BBCE2F7D0B0C48F125B4B0E74F9338A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986FF722FF4DB91B759222161D3EA81C179C93C3761E432A41092CEC0BBCE2F37A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2017-08-09T04:08:00Z</dcterms:created>
  <dcterms:modified xsi:type="dcterms:W3CDTF">2017-08-10T07:30:00Z</dcterms:modified>
</cp:coreProperties>
</file>